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f530" w14:textId="d5bf530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организации и проведения внутренней и внешней экспертиз качества медицинских услуг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здравоохранения и социального развития Республики Казахстан от 27 марта 2015 года № 173. Зарегистрирован в Министерстве юстиции Республики Казахстан 29 апреля 2015 года № 10880.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 xml:space="preserve">
      В соответствии c </w:t>
      </w:r>
      <w:r>
        <w:rPr>
          <w:rFonts w:ascii="Consolas"/>
          <w:b w:val="false"/>
          <w:i w:val="false"/>
          <w:color w:val="000000"/>
          <w:sz w:val="20"/>
        </w:rPr>
        <w:t>пунктом 5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58 Кодекса Республики Казахстан от 18 сентября 2009 года "О здоровье народа и системе здравоохранения" </w:t>
      </w:r>
      <w:r>
        <w:rPr>
          <w:rFonts w:ascii="Consolas"/>
          <w:b/>
          <w:i w:val="false"/>
          <w:color w:val="000000"/>
          <w:sz w:val="20"/>
        </w:rPr>
        <w:t>ПРИКАЗЫВАЮ</w:t>
      </w:r>
      <w:r>
        <w:rPr>
          <w:rFonts w:ascii="Consolas"/>
          <w:b w:val="false"/>
          <w:i w:val="false"/>
          <w:color w:val="000000"/>
          <w:sz w:val="20"/>
        </w:rPr>
        <w:t>: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Утвердить прилагаемые </w:t>
      </w:r>
      <w:r>
        <w:rPr>
          <w:rFonts w:ascii="Consolas"/>
          <w:b w:val="false"/>
          <w:i w:val="false"/>
          <w:color w:val="000000"/>
          <w:sz w:val="20"/>
        </w:rPr>
        <w:t>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организации и проведения внутренней и внешней экспертиз качества медицинских услуг.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4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1"/>
        <w:gridCol w:w="8519"/>
      </w:tblGrid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Согласовано  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Министр национальной экономики  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Республики Казахстан  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_________________ Е. Досаев  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"_____" ____________ 2015 год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27 марта 2015 года № 173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Правила</w:t>
      </w:r>
      <w:r>
        <w:br/>
      </w:r>
      <w:r>
        <w:rPr>
          <w:rFonts w:ascii="Consolas"/>
          <w:b/>
          <w:i w:val="false"/>
          <w:color w:val="000000"/>
        </w:rPr>
        <w:t>организации и проведения</w:t>
      </w:r>
      <w:r>
        <w:br/>
      </w:r>
      <w:r>
        <w:rPr>
          <w:rFonts w:ascii="Consolas"/>
          <w:b/>
          <w:i w:val="false"/>
          <w:color w:val="000000"/>
        </w:rPr>
        <w:t>внутренней и внешней экспертиз качества медицинских услуг</w:t>
      </w:r>
    </w:p>
    <w:bookmarkEnd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 Сноска. Правила в редакции приказа Министра здравоохранения и социального развития РК от 28.06.2016 </w:t>
      </w:r>
      <w:r>
        <w:rPr>
          <w:rFonts w:ascii="Consolas"/>
          <w:b w:val="false"/>
          <w:i w:val="false"/>
          <w:color w:val="ff0000"/>
          <w:sz w:val="20"/>
        </w:rPr>
        <w:t>№ 568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 Глава 1. Общие положения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Правила организации и проведения внутренней и внешней экспертиз качества медицинских услуг (далее – Правила) разработаны в соответствии со </w:t>
      </w:r>
      <w:r>
        <w:rPr>
          <w:rFonts w:ascii="Consolas"/>
          <w:b w:val="false"/>
          <w:i w:val="false"/>
          <w:color w:val="000000"/>
          <w:sz w:val="20"/>
        </w:rPr>
        <w:t>статьей 58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 Республики Казахстан от 18 сентября 2009 года "О здоровье народа и системе здравоохранения" (далее – Кодекс)" и определяют порядок организации и проведения внутренней и внешней экспертиз качества медицинских услуг, оказываемых субъектами здравоохранения независимо от форм собственности и ведомственной принадлежности.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В настоящих Правилах используются следующие основные понятия: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внутрибольничные комиссии – комиссии, создаваемые в организациях здравоохранения (комиссии инфекционного контроля, комиссии по разбору запущенных и летальных случаев);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текущий анализ – анализ на основе изучения медицинской документации пациентов, получающих медицинские услуги на момент проведения экспертизы;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3) </w:t>
      </w:r>
      <w:r>
        <w:rPr>
          <w:rFonts w:ascii="Consolas"/>
          <w:b w:val="false"/>
          <w:i w:val="false"/>
          <w:color w:val="000000"/>
          <w:sz w:val="20"/>
        </w:rPr>
        <w:t>стандарт</w:t>
      </w:r>
      <w:r>
        <w:rPr>
          <w:rFonts w:ascii="Consolas"/>
          <w:b w:val="false"/>
          <w:i w:val="false"/>
          <w:color w:val="000000"/>
          <w:sz w:val="20"/>
        </w:rPr>
        <w:t xml:space="preserve"> в области здравоохранения (далее – Стандарт) – нормативный правовой акт, устанавливающий правила, общие принципы и характеристики в сфере медицинской, фармацевтической деятельности, медицинского и фармацевтического образования;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уполномоченный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пролеченный случай – комплекс медицинских услуг, оказанных пациенту в стационарных и (или) стационарозамещающих условиях с момента поступления до выписки;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6) клинический аудит – подробный ретроспективный и (или) текущий анализ проведенных лечебно-диагностических мероприятий на предмет их соответствия </w:t>
      </w:r>
      <w:r>
        <w:rPr>
          <w:rFonts w:ascii="Consolas"/>
          <w:b w:val="false"/>
          <w:i w:val="false"/>
          <w:color w:val="000000"/>
          <w:sz w:val="20"/>
        </w:rPr>
        <w:t>стандартам</w:t>
      </w:r>
      <w:r>
        <w:rPr>
          <w:rFonts w:ascii="Consolas"/>
          <w:b w:val="false"/>
          <w:i w:val="false"/>
          <w:color w:val="000000"/>
          <w:sz w:val="20"/>
        </w:rPr>
        <w:t xml:space="preserve"> в области здравоохранения и клиническим протоколам;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8) </w:t>
      </w:r>
      <w:r>
        <w:rPr>
          <w:rFonts w:ascii="Consolas"/>
          <w:b w:val="false"/>
          <w:i w:val="false"/>
          <w:color w:val="000000"/>
          <w:sz w:val="20"/>
        </w:rPr>
        <w:t>Комитет</w:t>
      </w:r>
      <w:r>
        <w:rPr>
          <w:rFonts w:ascii="Consolas"/>
          <w:b w:val="false"/>
          <w:i w:val="false"/>
          <w:color w:val="000000"/>
          <w:sz w:val="20"/>
        </w:rPr>
        <w:t xml:space="preserve"> контроля медицинской и фармацевтической деятельности Министерства здравоохранения и социального развития Республики Казахстан (далее – ККМФД) – ведомство уполномоченного органа в области здравоохранения осуществляющее регулятивные, реализационные и контрольные функции в сфере оказания медицинских услуг и обращения лекарственных средств, изделий медицинского назначения и медицинской техники;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9) дефект оказания медицинских услуг (далее – дефект) – нарушение порядка оказания медицинской помощи, лечебно-диагностических мероприятий, выражающееся в невыполнении стандартов в области здравоохранения и несоблюдении клинических протоколов;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10) медицинские услуги – действия субъектов здравоохранения, имеющие профилактическую, диагностическую, лечебную или реабилитационную направленность по отношению к конкретному человеку;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11) индикаторы оценки качества медицинских услуг (далее – индикаторы оценки) – показатели эффективности, полноты и соответствия медицинских услуг стандартам в области здравоохранения, включающие:</w:t>
      </w:r>
    </w:p>
    <w:bookmarkEnd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индикаторы структуры – показатели обеспеченности кадровыми, финансовыми и техническими ресурсами;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индикаторы процесса – показатели оценки выполнения технологий профилактики, диагностики, лечения и реабилитации;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индикаторы результата – показатели оценки последствий для здоровья в результате оказания или неоказания медицинских услуг субъектами здравоохранения;</w:t>
      </w:r>
    </w:p>
    <w:bookmarkStart w:name="z22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12) управление качеством медицинской помощи – систематический, независимый и документированный процесс непрерывных, взаимосвязанных действий, включающих планирование, организацию, мотивацию, внутренний аудит деятельности организации здравоохранения, а также другие мероприятия, обеспечивающие улучшение качества медицинской помощи и безопасность для пациентов и направленные на предупреждение и устранение недостатков деятельности;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13) экспертиза качества медицинских услуг (далее – экспертиза) – совокупность организационных, аналитических и практических мероприятий, осуществляемых для вынесения заключения об уровне качества медицинских услуг, предоставляемых физическими и юридическими лицами, с использованием индикаторов оценки, отражающих показатель эффективности, полноты и соответствия медицинских услуг стандартам в области здравоохранения;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14) мониторинг – процесс систематического сбора информации о деятельности структурных подразделений организации здравоохранения в ходе реализации достижения результатов для оказания поддержки в управлении для непрерывного процесса принятия своевременных и адекватных решений;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15) служба поддержки пациента и внутреннего контроля (аудита) (далее – Служба) – структурное подразделение организации здравоохранения, осуществляющее деятельность по управлению качеством оказания медицинских услуг;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16) ретроспективный анализ – анализ на основе изучения медицинской документации пациентов, получивших медицинскую помощь на момент проведения экспертизы;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17) внешние индикаторы – показатели, применяемые при внешней экспертизе, которые характеризуют эффективность, полноту и соответствие медицинской деятельности субъекта здравоохранения стандартам в области здравоохранения в целях проведения анализа и оценки качества медицинской деятельности;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18) </w:t>
      </w:r>
      <w:r>
        <w:rPr>
          <w:rFonts w:ascii="Consolas"/>
          <w:b w:val="false"/>
          <w:i w:val="false"/>
          <w:color w:val="000000"/>
          <w:sz w:val="20"/>
        </w:rPr>
        <w:t>независимый эксперт</w:t>
      </w:r>
      <w:r>
        <w:rPr>
          <w:rFonts w:ascii="Consolas"/>
          <w:b w:val="false"/>
          <w:i w:val="false"/>
          <w:color w:val="000000"/>
          <w:sz w:val="20"/>
        </w:rPr>
        <w:t xml:space="preserve"> – физическое лицо, аккредитованное в  </w:t>
      </w:r>
      <w:r>
        <w:rPr>
          <w:rFonts w:ascii="Consolas"/>
          <w:b w:val="false"/>
          <w:i w:val="false"/>
          <w:color w:val="000000"/>
          <w:sz w:val="20"/>
        </w:rPr>
        <w:t>установленном</w:t>
      </w:r>
      <w:r>
        <w:rPr>
          <w:rFonts w:ascii="Consolas"/>
          <w:b w:val="false"/>
          <w:i w:val="false"/>
          <w:color w:val="000000"/>
          <w:sz w:val="20"/>
        </w:rPr>
        <w:t xml:space="preserve"> порядке для проведения независимой экспертизы деятельности субъектов здравоохранения;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19) независимая экспертиза – процедура, проводимая независимыми экспертами в рамках внешней экспертизы в целях вынесения заключения об уровне качества оказываемых медицинских услуг, предоставляемых субъектами здравоохранения, с использованием индикаторов, отражающих показатель эффективности, полноты и соответствия оказываемых медицинских услуг Стандартам;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20) внутренние индикаторы – показатели, применяемые при внутренней экспертизе в целях проведения анализа и оценки качества медицинской деятельности, которые характеризуют эффективность, полноту медицинской деятельности каждого структурного подразделения организации здравоохранения.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Экспертиза качества медицинских услуг подразделяется на внутреннюю и внешнюю.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Основными этапами экспертизы качества медицинских услуг являются:</w:t>
      </w:r>
    </w:p>
    <w:bookmarkEnd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анализ </w:t>
      </w:r>
      <w:r>
        <w:rPr>
          <w:rFonts w:ascii="Consolas"/>
          <w:b w:val="false"/>
          <w:i w:val="false"/>
          <w:color w:val="000000"/>
          <w:sz w:val="20"/>
        </w:rPr>
        <w:t>учетной</w:t>
      </w:r>
      <w:r>
        <w:rPr>
          <w:rFonts w:ascii="Consolas"/>
          <w:b w:val="false"/>
          <w:i w:val="false"/>
          <w:color w:val="000000"/>
          <w:sz w:val="20"/>
        </w:rPr>
        <w:t xml:space="preserve"> и отчетной документации организации здравоохранения для сравнения показателей деятельности за определенный период работы с показателями за предыдущий аналогичный период работы, а также с республиканскими и областными показателями состояния здоровья населения;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проведение клинического аудита путем подробного ретроспективного и (или) текущего анализа проведенных лечебно-диагностических мероприятий на предмет их соответствия Стандартам;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обобщение результатов экспертизы.</w:t>
      </w:r>
    </w:p>
    <w:bookmarkStart w:name="z33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При анализе учетной и отчетной документации сравниваются показатели деятельности организации за определенный период работы с показателями за предыдущий аналогичный период, а также с республиканскими и областными показателями состояния здоровья населения.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При проведении клинического аудита оцениваются:</w:t>
      </w:r>
    </w:p>
    <w:bookmarkEnd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качество сбора анамнеза, которое оценивается по следующим критериям: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а) отсутствие сбора анамнеза;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б) полнота сбора анамнеза;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в) наличие данных о перенесенных, хронических и наследственных заболеваниях, проведенных гемотрансфузиях, переносимости лекарственных препаратов, аллергологический статус;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г) наличие данных о деталях, имеющих значение в трактовке конкретного случая;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д) развитие осложнений вследствие допущенных тактических ошибок при проведении лечебно-диагностических мероприятий из-за некачественного сбора анамнеза;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полнота и обоснованность проведения диагностических исследований, которые оцениваются по следующим критериям: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а) отсутствие диагностических мероприятий;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б) неправильное заключение или отсутствие заключения по результатам проведенных диагностических исследований, приведшие к неправильной постановке диагноза и ошибкам в тактике лечения;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в) проведение диагностических исследований, предусмотренных клиническими протоколами;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г) проведение диагностических исследований с высоким, неоправданным риском для состояния здоровья пациента, обоснованность проведения диагностических исследований, не вошедших в протоколы;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д) проведение диагностических исследований, неинформативных для постановки правильного диагноза и приведших к необоснованному увеличению сроков лечения и удорожанию стоимости лечения;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правильность, своевременность и обоснованность выставленного клинического диагноза с учетом результатов проведенных исследований (при плановой госпитализации учитываются исследования, проведенные и на догоспитальном этапе), которые оцениваются по следующим критериям: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а) диагноз отсутствует, неполный или неправильный, не соответствует международной статистической классификации болезней;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б) не выделен ведущий патологический синдром, определяющий тяжесть течения заболевания, не распознаны сопутствующие заболевания и осложнения;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в) диагноз правильный, но неполный, не выделен ведущий патологический синдром при выделенных осложнениях, не распознаны сопутствующие заболевания, влияющие на исход;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г) диагноз основного заболевания правильный, но не диагностированы сопутствующие заболевания, влияющие на результат лечения.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Объективные причины неправильной и (или) несвоевременной диагностики (атипичное течение основного заболевания, бессимптомное течение сопутствующего заболевания, редко встречающиеся осложнения и сопутствующие заболевания) отражаются в результатах экспертизы. Проводится оценка влияния неправильной и (или) несвоевременной постановки диагноза на последующие этапы оказания медицинских услуг;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своевременность и качество консультаций профильных специалистов, которые оцениваются по следующим критериям: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а) отсутствие консультации, приведшее к ошибочной трактовке симптомов и синдромов, отрицательно повлиявших на исход заболевания;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б) консультация своевременная, непринятие во внимание мнения консультанта при постановке диагноза частично повлияло на исход заболевания;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в) консультация своевременная, мнение консультанта учтено при постановке диагноза, невыполнение рекомендации консультанта по лечению частично повлияло на исход заболевания;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г) мнение консультанта ошибочное и повлияло на исход заболевания.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случаях проведения консультаций с опозданием,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объем, качество и обоснованность проведения лечебных мероприятий, которые оцениваются по следующим критериям: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а) отсутствие лечения при наличии показаний;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б) назначение лечения при отсутствии показаний;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в) назначение малоэффективных лечебных мероприятий без учета особенностей течения заболевания, сопутствующих заболеваний и осложнений;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г) выполнение лечебных мероприятий не в полном объеме, без учета функционального состояния органов и систем, назначения лекарственных средств без доказанной клинической эффективности;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д) преждевременное прекращение лечения при недооценке клинического эффекта и (или) утяжелении течения заболевания, кроме документально оформленных случаев отказа пациента от лечения соответствии с </w:t>
      </w:r>
      <w:r>
        <w:rPr>
          <w:rFonts w:ascii="Consolas"/>
          <w:b w:val="false"/>
          <w:i w:val="false"/>
          <w:color w:val="000000"/>
          <w:sz w:val="20"/>
        </w:rPr>
        <w:t>пунктом 3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93 Кодекса;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е) несоблюдение требований Стандартов, отклонение от клинических протоколов, наличие полипрагмазии без учета тяжелого побочного действия лекарств и развития нового патологического синдрома;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ж) несоблюдение требований </w:t>
      </w:r>
      <w:r>
        <w:rPr>
          <w:rFonts w:ascii="Consolas"/>
          <w:b w:val="false"/>
          <w:i w:val="false"/>
          <w:color w:val="000000"/>
          <w:sz w:val="20"/>
        </w:rPr>
        <w:t>Стандартов</w:t>
      </w:r>
      <w:r>
        <w:rPr>
          <w:rFonts w:ascii="Consolas"/>
          <w:b w:val="false"/>
          <w:i w:val="false"/>
          <w:color w:val="000000"/>
          <w:sz w:val="20"/>
        </w:rPr>
        <w:t>, отклонение от требований клинических протоколов, наличие полипрагмазии, приведшее к развитию нового патологического синдрома и ухудшению состояния пациента;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отсутствие или развитие осложнений после медицинских вмешательств, по которой оценке качества медицинских услуг подлежат все возникшие осложнения, в том числе обусловленные оперативными вмешательствами (запоздалое оперативное вмешательство, неадекватный объем и метод, технические дефекты) и диагностическими процедурами;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достигнутый результат, который оценивается по следующим критериям: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а) достижение ожидаемого клинического эффекта при соблюдении технологии оказания медицинских услуг;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б)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в) отсутствие ожидаемого клинического эффекта вследствие проведения малоэффективных лечебных, профилактических мероприятий без учета особенностей течения заболевания, сопутствующих заболеваний, осложнений, назначение лекарственных средств без доказанной клинической эффективности;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г) наличие полипрагмазии, обусловившее развитие нежелательных последствий;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8) качество ведения медицинской документации, которое оценивается по наличию, полноте и качеству записей в первичной медицинской документации, предназначенной для записи данных о состоянии здоровья пациентов, отражающих характер, объем и качество оказанной медицинской помощи в соответствии с формами, утвержденными 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зарегистрированным в Реестре государственной регистрации нормативных правовых актов за № 6697 (далее – Приказ № 907).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 уровне амбулаторно-поликлинической помощи дополнительно оцениваются диспансерные, профилактические, реабилитационные мероприятия и скрининговые исследования.</w:t>
      </w:r>
    </w:p>
    <w:bookmarkStart w:name="z35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По завершению экспертизы результаты обобщаются и делаются выводы:</w:t>
      </w:r>
    </w:p>
    <w:bookmarkEnd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о соответствии (несоответствии) оказанной медицинской помощи требованиям </w:t>
      </w:r>
      <w:r>
        <w:rPr>
          <w:rFonts w:ascii="Consolas"/>
          <w:b w:val="false"/>
          <w:i w:val="false"/>
          <w:color w:val="000000"/>
          <w:sz w:val="20"/>
        </w:rPr>
        <w:t>Стандартов</w:t>
      </w:r>
      <w:r>
        <w:rPr>
          <w:rFonts w:ascii="Consolas"/>
          <w:b w:val="false"/>
          <w:i w:val="false"/>
          <w:color w:val="000000"/>
          <w:sz w:val="20"/>
        </w:rPr>
        <w:t>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о предоставлении пациенту бесплатной медицинской помощи </w:t>
      </w:r>
      <w:r>
        <w:rPr>
          <w:rFonts w:ascii="Consolas"/>
          <w:b w:val="false"/>
          <w:i w:val="false"/>
          <w:color w:val="000000"/>
          <w:sz w:val="20"/>
        </w:rPr>
        <w:t>в объеме</w:t>
      </w:r>
      <w:r>
        <w:rPr>
          <w:rFonts w:ascii="Consolas"/>
          <w:b w:val="false"/>
          <w:i w:val="false"/>
          <w:color w:val="000000"/>
          <w:sz w:val="20"/>
        </w:rPr>
        <w:t>, гарантированном государством.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Экспертиза качества медицинских услуг осуществляется путем проведения: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текущего анализа, при необходимости с участием пациента;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ретроспективного анализа;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качестве источника информации при проведении экспертизы используются медицинская документация и электронные информационные ресурсы в области здравоохранения.</w:t>
      </w:r>
    </w:p>
    <w:bookmarkStart w:name="z36" w:id="3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2. Порядок организации и проведения внутренней</w:t>
      </w:r>
      <w:r>
        <w:br/>
      </w:r>
      <w:r>
        <w:rPr>
          <w:rFonts w:ascii="Consolas"/>
          <w:b/>
          <w:i w:val="false"/>
          <w:color w:val="000000"/>
        </w:rPr>
        <w:t>экспертизы качества медицинских услуг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Для организации и проведения внутренней экспертизы в медицинской организации создается служба поддержки пациента и внутреннего контроля (аудита).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Структура и состав Службы утверждаются руководителем организации здравоохранения с учетом объема оказываемых медицинских услуг, профиля, мощности (количества коек) для организаций, оказывающих стационарную помощь, количества прикрепленного (обслуживаемого) населения для организаций, оказывающих амбулаторно-поликлиническую помощь.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11. Служба определяет степень удовлетворенности пациентов уровнем и качеством медицинских услуг путем анкетирования пациентов и (или) их родственников и анализа обоснованных обращений на качество оказанных медицинских услуг.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Cлужба рассматривает обращения по вопросам медицинской помощи, оказанной организацией здравоохранения с созданием комиссии из числа опытных специалистов.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13. Оценка деятельности организации здравоохранения в целом и по каждому структурному подразделению организации осуществляется Службой на основании оценки внутренних индикаторов,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приложением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 Руководители структурных подразделений медицинской организации представляют Службе ежемесячно по утвержденному руководителем графику результаты мониторинга по индикаторам оценки качества медицинских услуг.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14. Внутренняя экспертиза проводится ретроспективно и непосредственно в момент получения пациентами медицинской помощи.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Службой поддержки пациента проводится экспертиза:</w:t>
      </w:r>
    </w:p>
    <w:bookmarkEnd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в организациях, оказывающих </w:t>
      </w:r>
      <w:r>
        <w:rPr>
          <w:rFonts w:ascii="Consolas"/>
          <w:b w:val="false"/>
          <w:i w:val="false"/>
          <w:color w:val="000000"/>
          <w:sz w:val="20"/>
        </w:rPr>
        <w:t>стационарную</w:t>
      </w:r>
      <w:r>
        <w:rPr>
          <w:rFonts w:ascii="Consolas"/>
          <w:b w:val="false"/>
          <w:i w:val="false"/>
          <w:color w:val="000000"/>
          <w:sz w:val="20"/>
        </w:rPr>
        <w:t xml:space="preserve"> или </w:t>
      </w:r>
      <w:r>
        <w:rPr>
          <w:rFonts w:ascii="Consolas"/>
          <w:b w:val="false"/>
          <w:i w:val="false"/>
          <w:color w:val="000000"/>
          <w:sz w:val="20"/>
        </w:rPr>
        <w:t>стационарозамещающую</w:t>
      </w:r>
      <w:r>
        <w:rPr>
          <w:rFonts w:ascii="Consolas"/>
          <w:b w:val="false"/>
          <w:i w:val="false"/>
          <w:color w:val="000000"/>
          <w:sz w:val="20"/>
        </w:rPr>
        <w:t xml:space="preserve"> помощь, не менее 15 % пролеченных случаев в месяц, а также все случаи: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летальных исходов;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осложнений, в том числе послеоперационных;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внутрибольничных инфекций</w:t>
      </w:r>
      <w:r>
        <w:rPr>
          <w:rFonts w:ascii="Consolas"/>
          <w:b w:val="false"/>
          <w:i w:val="false"/>
          <w:color w:val="000000"/>
          <w:sz w:val="20"/>
        </w:rPr>
        <w:t>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повторной госпитализации по одному и тому же заболеванию в течение одного месяца вследствие некачественного предыдущего лечения;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удлинения или укорочения сроков лечения;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расхождений диагнозов;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необоснованной госпитализации;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в </w:t>
      </w:r>
      <w:r>
        <w:rPr>
          <w:rFonts w:ascii="Consolas"/>
          <w:b w:val="false"/>
          <w:i w:val="false"/>
          <w:color w:val="000000"/>
          <w:sz w:val="20"/>
        </w:rPr>
        <w:t>организациях</w:t>
      </w:r>
      <w:r>
        <w:rPr>
          <w:rFonts w:ascii="Consolas"/>
          <w:b w:val="false"/>
          <w:i w:val="false"/>
          <w:color w:val="000000"/>
          <w:sz w:val="20"/>
        </w:rPr>
        <w:t>, оказывающих амбулаторно-поликлиническую помощь: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не менее 10 % экспертиз за месяц: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пролеченных случаев, </w:t>
      </w:r>
      <w:r>
        <w:rPr>
          <w:rFonts w:ascii="Consolas"/>
          <w:b w:val="false"/>
          <w:i w:val="false"/>
          <w:color w:val="000000"/>
          <w:sz w:val="20"/>
        </w:rPr>
        <w:t>амбулаторных карт</w:t>
      </w:r>
      <w:r>
        <w:rPr>
          <w:rFonts w:ascii="Consolas"/>
          <w:b w:val="false"/>
          <w:i w:val="false"/>
          <w:color w:val="000000"/>
          <w:sz w:val="20"/>
        </w:rPr>
        <w:t xml:space="preserve"> лиц, подлежащих иммунизации против инфекционных заболеваний;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а также все случаи: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материнской смертности;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смерти на дому детей от 0 до 5 лет включительно;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смерти на дому лиц трудоспособного возраста от заболеваний;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внутрибольничных инфекций</w:t>
      </w:r>
      <w:r>
        <w:rPr>
          <w:rFonts w:ascii="Consolas"/>
          <w:b w:val="false"/>
          <w:i w:val="false"/>
          <w:color w:val="000000"/>
          <w:sz w:val="20"/>
        </w:rPr>
        <w:t>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несвоевременной вакцинации или отсутствия вакцинации против инфекционных заболеваний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постановлением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30 декабря 2009 года № 2295 "Об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прививкам" (далее – Постановление № 2295);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запущенных форм онкологических заболеваний и туберкулеза;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первичного выхода на инвалидность лиц трудоспособного возраста;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осложнений беременности, управляемых на уровне организаций, оказывающих первичную медико-санитарную помощь;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наблюдений за пациентами после выписки из стационара (за детьми, за женщинами в послеродовом периоде), за пациентами с болезнями системы кровообращения (после инсультов и инфарктов);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в организациях скорой медицинской помощи экспертиза не менее 20 % обслуженных вызовов за квартал, а также все случаи: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повторных вызовов к одному и тому же пациенту по тому же заболеванию в течение суток с момента первого вызова;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летальности при вызовах: смерть до прибытия бригады, смерть в присутствии бригады;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расхождения диагнозов бригады скорой помощи и стационара в случае госпитализации больных;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4) в организациях </w:t>
      </w:r>
      <w:r>
        <w:rPr>
          <w:rFonts w:ascii="Consolas"/>
          <w:b w:val="false"/>
          <w:i w:val="false"/>
          <w:color w:val="000000"/>
          <w:sz w:val="20"/>
        </w:rPr>
        <w:t>восстановительного лечения</w:t>
      </w:r>
      <w:r>
        <w:rPr>
          <w:rFonts w:ascii="Consolas"/>
          <w:b w:val="false"/>
          <w:i w:val="false"/>
          <w:color w:val="000000"/>
          <w:sz w:val="20"/>
        </w:rPr>
        <w:t xml:space="preserve"> и медицинской реабилитации – все случаи: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летальных исходов;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госпитализации в больничные организации;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удлинения или укорочения сроков лечения;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травматизма;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внутрибольничных инфекций</w:t>
      </w:r>
      <w:r>
        <w:rPr>
          <w:rFonts w:ascii="Consolas"/>
          <w:b w:val="false"/>
          <w:i w:val="false"/>
          <w:color w:val="000000"/>
          <w:sz w:val="20"/>
        </w:rPr>
        <w:t>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в организациях по оказанию паллиативной помощи и сестринского ухода – все случаи: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летальных исходов;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внутрибольничных инфекций;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больничного травматизма;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6) в организациях, осуществляющих деятельность в сфере службы крови, проводится экспертиза не менее 20 % медицинских карт доноров в квартал, а также проводится контроль соблюдения </w:t>
      </w:r>
      <w:r>
        <w:rPr>
          <w:rFonts w:ascii="Consolas"/>
          <w:b w:val="false"/>
          <w:i w:val="false"/>
          <w:color w:val="000000"/>
          <w:sz w:val="20"/>
        </w:rPr>
        <w:t>правил</w:t>
      </w:r>
      <w:r>
        <w:rPr>
          <w:rFonts w:ascii="Consolas"/>
          <w:b w:val="false"/>
          <w:i w:val="false"/>
          <w:color w:val="000000"/>
          <w:sz w:val="20"/>
        </w:rPr>
        <w:t xml:space="preserve"> заготовки, переработки, хранения, реализации, переливания крови и ее компонентов, утвержденных приказом исполняющего обязанности Министра здравоохранения Республики Казахстан от 6 ноября 2009 года № 666 "Об утверждении Номенклатуры, Правил заготовки, переработки, хранения, реализации крови и ее компонентов, а также Правил хранения, переливания крови, ее компонентов и препаратов", зарегистрированным в Реестре государственной регистрации нормативных правовых актов за № 5925;</w:t>
      </w:r>
    </w:p>
    <w:bookmarkStart w:name="z44"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16. Службой ежемесячно проводится не менее 10 % экспертиз пролеченных случаев на качество заполнения медицинской документации средними медицинскими работниками.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17. Внутренняя экспертиза качества медицинских услуг осуществляется также на уровне:</w:t>
      </w:r>
    </w:p>
    <w:bookmarkEnd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каждого медицинского работника (самоконтроль);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 уровне структурного подразделения;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 уровне заместителя руководителя по лечебно-профилактической работе;</w:t>
      </w:r>
    </w:p>
    <w:bookmarkStart w:name="z46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18. Внутренняя экспертиза на уровне самоконтроля осуществляется каждым врачом, каждой медицинской сестрой отделения по всем пролеченным случаям.</w:t>
      </w:r>
    </w:p>
    <w:bookmarkEnd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Самоконтроль выражается в четком знании и выполнении медицинскими работниками своих функциональных обязанностей, </w:t>
      </w:r>
      <w:r>
        <w:rPr>
          <w:rFonts w:ascii="Consolas"/>
          <w:b w:val="false"/>
          <w:i w:val="false"/>
          <w:color w:val="000000"/>
          <w:sz w:val="20"/>
        </w:rPr>
        <w:t>Стандартов</w:t>
      </w:r>
      <w:r>
        <w:rPr>
          <w:rFonts w:ascii="Consolas"/>
          <w:b w:val="false"/>
          <w:i w:val="false"/>
          <w:color w:val="000000"/>
          <w:sz w:val="20"/>
        </w:rPr>
        <w:t>, направлен на выявление и устранение отклонений в процессе оказания медицинской услуги.</w:t>
      </w:r>
    </w:p>
    <w:bookmarkStart w:name="z47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19. Внутренняя экспертиза на уровне структурного подразделения проводится заведующим отделением по всем пролеченным случаям.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20. На уровне заместителя руководителя по лечебной работе внутренняя экспертиза проводится с охватом не менее 25 % пролеченных случаев в месяц.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21. В рамках внутренней экспертизы медицинских услуг осуществляется оценка качества работы средних медицинских работников, которая включает:</w:t>
      </w:r>
    </w:p>
    <w:bookmarkEnd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оценку качества работы старших медицинских сестер структурных подразделений;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оценку качества работы средних медицинских работников структурных подразделений.</w:t>
      </w:r>
    </w:p>
    <w:bookmarkStart w:name="z50"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22. Оценка работы старших медицинских сестер проводится по следующим направлениям:</w:t>
      </w:r>
    </w:p>
    <w:bookmarkEnd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организация работы по кадровому планированию, рациональной расстановке и использованию средних и младших медицинских работников;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организационные мероприятия по повышению квалификации, переподготовке, оценке квалификации и удельному весу категорийности средних медицинских работников;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3) осуществление контроля за </w:t>
      </w:r>
      <w:r>
        <w:rPr>
          <w:rFonts w:ascii="Consolas"/>
          <w:b w:val="false"/>
          <w:i w:val="false"/>
          <w:color w:val="000000"/>
          <w:sz w:val="20"/>
        </w:rPr>
        <w:t>противоэпидемическими мероприятиями</w:t>
      </w:r>
      <w:r>
        <w:rPr>
          <w:rFonts w:ascii="Consolas"/>
          <w:b w:val="false"/>
          <w:i w:val="false"/>
          <w:color w:val="000000"/>
          <w:sz w:val="20"/>
        </w:rPr>
        <w:t xml:space="preserve"> в отделении;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организация выполнения манипуляций и cтандартов операционных процедур средним медицинским персоналом;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5) контроль за соблюдением </w:t>
      </w:r>
      <w:r>
        <w:rPr>
          <w:rFonts w:ascii="Consolas"/>
          <w:b w:val="false"/>
          <w:i w:val="false"/>
          <w:color w:val="000000"/>
          <w:sz w:val="20"/>
        </w:rPr>
        <w:t>правил</w:t>
      </w:r>
      <w:r>
        <w:rPr>
          <w:rFonts w:ascii="Consolas"/>
          <w:b w:val="false"/>
          <w:i w:val="false"/>
          <w:color w:val="000000"/>
          <w:sz w:val="20"/>
        </w:rPr>
        <w:t xml:space="preserve"> хранения и транспортировки лекарственных средств, изделий медицинского назначения, утвержденных приказом Министра здравоохранения и социального развития Республики Казахстан от 24 апреля 2015 года № 262 "Об утверждении Правил хранения и транспортировки лекарственных средств, изделий медицинского назначения и медицинской техники", зарегистрированным в Реестре государственной регистрации нормативных правовых актов за № 11191 (далее – Приказ № 262).</w:t>
      </w:r>
    </w:p>
    <w:bookmarkStart w:name="z51"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23. Оценка работы средних медицинских работников на уровне структурного подразделения осуществляется старшей медицинской сестрой.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24. Оценка качества работы средних медицинских работников структурных подразделений включает:</w:t>
      </w:r>
    </w:p>
    <w:bookmarkEnd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полноту и своевременность заполнения медицинской документации;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полноту, своевременность и качество выполнения врачебных назначений;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знания и навыки выполнения стандартов операционных процедур;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умение коммуникативного общения с пациентами и коллегами;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отсутствие осложнений в результате сестринских манипуляций;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6) знание и соблюдение </w:t>
      </w:r>
      <w:r>
        <w:rPr>
          <w:rFonts w:ascii="Consolas"/>
          <w:b w:val="false"/>
          <w:i w:val="false"/>
          <w:color w:val="000000"/>
          <w:sz w:val="20"/>
        </w:rPr>
        <w:t>правил</w:t>
      </w:r>
      <w:r>
        <w:rPr>
          <w:rFonts w:ascii="Consolas"/>
          <w:b w:val="false"/>
          <w:i w:val="false"/>
          <w:color w:val="000000"/>
          <w:sz w:val="20"/>
        </w:rPr>
        <w:t xml:space="preserve"> хранения и транспортировки лекарственных средств, изделий медицинского назначения, утвержденных Приказом № 262;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7) знание и соблюдение режима дезинфекции и стерилизации изделий медицинского назначения, правил и сроков хранения стерильного материала в соответствии с </w:t>
      </w:r>
      <w:r>
        <w:rPr>
          <w:rFonts w:ascii="Consolas"/>
          <w:b w:val="false"/>
          <w:i w:val="false"/>
          <w:color w:val="000000"/>
          <w:sz w:val="20"/>
        </w:rPr>
        <w:t>санитарными правилами</w:t>
      </w:r>
      <w:r>
        <w:rPr>
          <w:rFonts w:ascii="Consolas"/>
          <w:b w:val="false"/>
          <w:i w:val="false"/>
          <w:color w:val="000000"/>
          <w:sz w:val="20"/>
        </w:rPr>
        <w:t xml:space="preserve"> "Санитарно-эпидемиологические требования к организации и проведению дезинфекции, дезинсекции и дератизации", утвержденными приказом Министра национальной экономики Республики Казахстан от 27 января 2015 года № 48, зарегистрированным в Реестре государственной регистрации нормативных правовых актов за № 10388;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8) знание и соблюдение требований сбора, временного хранения, обеззараживания, утилизации медицинских отходов в соответствии с  санитарными правилами "Санитарно-эпидемиологические требования к объектам здравоохранения", утвержденными приказом исполняющего обязанности Министра национальной экономики Республики Казахстан от 24 февраля 2015 года № 127, зарегистрированным в Реестре государственной регистрации нормативных правовых актов за № 10713;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9) оценку качества общего ухода за пациентами (отсутствие опрелостей, пролежней);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10) умение оказания неотложной доврачебной медицинской помощи;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11) анализ обращений (жалоб) пациентов на средний медицинский персонал.</w:t>
      </w:r>
    </w:p>
    <w:bookmarkStart w:name="z53"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25. Главной медицинской сестрой организации здравоохранения проводится не менее 10 % экспертиз пролеченных случаев на качество заполнения медицинской документации средними медицинскими работниками.</w:t>
      </w:r>
    </w:p>
    <w:bookmarkEnd w:id="51"/>
    <w:bookmarkStart w:name="z54" w:id="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26. Службой с медицинскими работниками, допустившими дефекты при оказании медицинских услуг (лечебных, диагностических), в оформлении медицинской документации, ошибки при выборе медицинской услуги или технологии оказания медицинской услуги, проводится разъяснитеьная работа по причинам возникновения и путях устранения дефектов.</w:t>
      </w:r>
    </w:p>
    <w:bookmarkEnd w:id="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Случаи допущенных дефектов, требующих принятия управленческих решений (направление на дополнительное обучение, курсы повышения квалификации медицинских работников, приобретение лекарственных препаратов, изделий медицинского назначения, медицинского оборудования) выносятся на рассмотрение руководства.</w:t>
      </w:r>
    </w:p>
    <w:bookmarkStart w:name="z55"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27. По результатам внутренней экспертизы составляется заключение и анализируется Службой. По итогам проведенной экспертизы оценивается деятельность врачей, среднего медицинского персонала, структурных подразделений и организации здравоохранения в целом. Для принятия управленческих решений определяются:</w:t>
      </w:r>
    </w:p>
    <w:bookmarkEnd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общее количество выявленных нарушений, структура, возможные причины и пути устранения;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количество выявленных нарушений, повлекших ухудшение состояния здоровья;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количество выявленных отклонений, приведших к увеличению затрат на оказание медицинской помощи.</w:t>
      </w:r>
    </w:p>
    <w:bookmarkStart w:name="z56"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28. Результаты внутренней экспертизы рассматриваются на заседании Службы, выносятся и разбираются на заседаниях внутрибольничных комиссий, на врачебных конференциях.</w:t>
      </w:r>
    </w:p>
    <w:bookmarkEnd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состав внутрибольничных комиссий включаются заведующие структурных подразделений (профильных отделений), врачи с опытом практической работы не менее 3 лет по специальности, имеющие первую и высшую квалификационные категории.</w:t>
      </w:r>
    </w:p>
    <w:bookmarkStart w:name="z57" w:id="5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3. Организация и порядок проведения внешней экспертизы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29. Внешняя экспертиза осуществляется специалистами ККМФД и его территориальных департаментов и (или) независимыми экспертами.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30. ККМФД и его территориальными департаментами внешняя экспертиза осуществляется также с </w:t>
      </w:r>
      <w:r>
        <w:rPr>
          <w:rFonts w:ascii="Consolas"/>
          <w:b w:val="false"/>
          <w:i w:val="false"/>
          <w:color w:val="000000"/>
          <w:sz w:val="20"/>
        </w:rPr>
        <w:t>привлечением</w:t>
      </w:r>
      <w:r>
        <w:rPr>
          <w:rFonts w:ascii="Consolas"/>
          <w:b w:val="false"/>
          <w:i w:val="false"/>
          <w:color w:val="000000"/>
          <w:sz w:val="20"/>
        </w:rPr>
        <w:t xml:space="preserve"> независимых экспертов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пунктом 4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58 Кодекса.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31. Внешней экспертизе специалистами ККМФД и его территориальных департаментов подлежат:</w:t>
      </w:r>
    </w:p>
    <w:bookmarkEnd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в организациях, оказывающих стационарную помощь: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100 % случаев: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от общего числа зарегистрированных случаев летальных исходов;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от общего числа зарегистрированных случаев внутрибольничных инфекций;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не менее 50 % случаев: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осложнений, в том числе послеоперационных;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повторной госпитализации по одному и тому же заболеванию в течение одного месяца вследствие некачественного предыдущего лечения;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не менее 10 % </w:t>
      </w:r>
      <w:r>
        <w:rPr>
          <w:rFonts w:ascii="Consolas"/>
          <w:b w:val="false"/>
          <w:i w:val="false"/>
          <w:color w:val="000000"/>
          <w:sz w:val="20"/>
        </w:rPr>
        <w:t>медицинских карт</w:t>
      </w:r>
      <w:r>
        <w:rPr>
          <w:rFonts w:ascii="Consolas"/>
          <w:b w:val="false"/>
          <w:i w:val="false"/>
          <w:color w:val="000000"/>
          <w:sz w:val="20"/>
        </w:rPr>
        <w:t xml:space="preserve"> стационарного больного по каждому отделению стационара от числа пролеченных больных;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в организациях, оказывающих амбулаторно-поликлиническую помощь: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100 % случаев: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от общего числа зарегистрированных случаев материнской смертности (за исключением несчастных случаев);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от общего числа зарегистрированных случаев внутрибольничных инфекций;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смерти на дому детей от 0 до 5 лет включительно (за исключением несчастных случаев);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смерти на дому лиц трудоспособного возраста;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запущенных форм онкологических заболеваний и туберкулеза;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не менее 50 % случаев от общего числа зарегистрированных случаев: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осложнений беременности (гестозов тяжелой степени, родов, осложнившихся акушерскими кровотечениями, гистерэктомиями);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первичного выхода на инвалидность лиц трудоспособного возраста; наблюдений за пациентами после выписки из стационара с болезнями системы кровообращения (после инфарктов, инсультов), онкологическими заболеваниями;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несвоевременной вакцинации или отсутствия профилактических прививок против заболеваний у детей до 5 лет, утвержденных </w:t>
      </w:r>
      <w:r>
        <w:rPr>
          <w:rFonts w:ascii="Consolas"/>
          <w:b w:val="false"/>
          <w:i w:val="false"/>
          <w:color w:val="000000"/>
          <w:sz w:val="20"/>
        </w:rPr>
        <w:t>Постановлением № 2295</w:t>
      </w:r>
      <w:r>
        <w:rPr>
          <w:rFonts w:ascii="Consolas"/>
          <w:b w:val="false"/>
          <w:i w:val="false"/>
          <w:color w:val="000000"/>
          <w:sz w:val="20"/>
        </w:rPr>
        <w:t>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не менее 10 медицинских карт амбулаторных больных с каждого отделения и (или) профиля специалистов;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не менее 10 % </w:t>
      </w:r>
      <w:r>
        <w:rPr>
          <w:rFonts w:ascii="Consolas"/>
          <w:b w:val="false"/>
          <w:i w:val="false"/>
          <w:color w:val="000000"/>
          <w:sz w:val="20"/>
        </w:rPr>
        <w:t>медицинских карт</w:t>
      </w:r>
      <w:r>
        <w:rPr>
          <w:rFonts w:ascii="Consolas"/>
          <w:b w:val="false"/>
          <w:i w:val="false"/>
          <w:color w:val="00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историй развития ребенка</w:t>
      </w:r>
      <w:r>
        <w:rPr>
          <w:rFonts w:ascii="Consolas"/>
          <w:b w:val="false"/>
          <w:i w:val="false"/>
          <w:color w:val="000000"/>
          <w:sz w:val="20"/>
        </w:rPr>
        <w:t>) детей до 5 лет, подлежащих иммунизации против инфекционных заболеваний;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в организациях, осуществляющих деятельность в сфере службы крови не менее 50 медицинских карт доноров, сдавших кровь на платной и бесплатной основе;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в организациях скорой медицинской помощи: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не менее 50 % случаев от общего числа зарегистрированных случаев: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повторных вызовов по тому же заболеванию в течение суток;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летальности при вызовах (смерть до прибытия бригады, смерть в присутствии бригады);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расхождения диагнозов бригады скорой помощи и стационара в случае госпитализации больных;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не менее 10 медицинских карт выездов общепрофильных и специализированных бригад.</w:t>
      </w:r>
    </w:p>
    <w:bookmarkStart w:name="z61"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32. По итогам внешней экспертизы анализируются:</w:t>
      </w:r>
    </w:p>
    <w:bookmarkEnd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результаты внутренней экспертизы на предмет соблюдения принципов экспертизы;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адекватности и эффективности мер, принятых Службой;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соответствия пороговых значений в динамике внешних индикаторов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приложением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</w:p>
    <w:bookmarkStart w:name="z62" w:id="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33. По результатам внешней экспертизы составляется заключение в двух экземплярах, один экземпляр заключения вручается руководителю субъекта здравоохранения или лицу его замещающему, в случае отсутствия руководителя.</w:t>
      </w:r>
    </w:p>
    <w:bookmarkEnd w:id="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На каждый случай смерти (летального исхода) прилагается экспертное заключение независимого эксперта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Замечания и (или) возражения по результатам внешней экспертизы излагаются в письменном виде и прилагаются к заключению.</w:t>
      </w:r>
    </w:p>
    <w:bookmarkStart w:name="z63"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34. По результатам внешней экспертизы качества медицинских услуг руководитель организации здравоохранения принимает управленческие меры, в том числе определяет потребность и направленность обучающих программ для врачей и среднего медицинского персонала.</w:t>
      </w:r>
    </w:p>
    <w:bookmarkEnd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Пункт 35 вводится в действие с 01.01.2017 в соответствии с приказом Министра здравоохранения и социального развития РК от 28.06.2016 </w:t>
      </w:r>
      <w:r>
        <w:rPr>
          <w:rFonts w:ascii="Consolas"/>
          <w:b w:val="false"/>
          <w:i w:val="false"/>
          <w:color w:val="ff0000"/>
          <w:sz w:val="20"/>
        </w:rPr>
        <w:t>№ 568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35. Независимыми экспертами внешняя экспертиза проводится при </w:t>
      </w:r>
      <w:r>
        <w:rPr>
          <w:rFonts w:ascii="Consolas"/>
          <w:b w:val="false"/>
          <w:i w:val="false"/>
          <w:color w:val="000000"/>
          <w:sz w:val="20"/>
        </w:rPr>
        <w:t>привлечении</w:t>
      </w:r>
      <w:r>
        <w:rPr>
          <w:rFonts w:ascii="Consolas"/>
          <w:b w:val="false"/>
          <w:i w:val="false"/>
          <w:color w:val="000000"/>
          <w:sz w:val="20"/>
        </w:rPr>
        <w:t xml:space="preserve"> их физическими или юридическими лицами в случаях несогласия с выводами внутренней и внешней экспертизы, а также субъектами здравоохранения для проведения независимой экспертизы на договорной основе в соответствии с </w:t>
      </w:r>
      <w:r>
        <w:rPr>
          <w:rFonts w:ascii="Consolas"/>
          <w:b w:val="false"/>
          <w:i w:val="false"/>
          <w:color w:val="000000"/>
          <w:sz w:val="20"/>
        </w:rPr>
        <w:t>Гражданским</w:t>
      </w:r>
      <w:r>
        <w:rPr>
          <w:rFonts w:ascii="Consolas"/>
          <w:b w:val="false"/>
          <w:i w:val="false"/>
          <w:color w:val="000000"/>
          <w:sz w:val="20"/>
        </w:rPr>
        <w:t xml:space="preserve"> </w:t>
      </w:r>
      <w:r>
        <w:rPr>
          <w:rFonts w:ascii="Consolas"/>
          <w:b w:val="false"/>
          <w:i w:val="false"/>
          <w:color w:val="000000"/>
          <w:sz w:val="20"/>
        </w:rPr>
        <w:t>кодексом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внутренней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внешней экспертиз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качества медицинских услуг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 Внутренние индикаторы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2620"/>
        <w:gridCol w:w="490"/>
        <w:gridCol w:w="6403"/>
        <w:gridCol w:w="2372"/>
      </w:tblGrid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Наименование индикаторов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Периодичность информации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Пороговое значение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Индикаторы оценки для организаций, оказывающих стационарную помощь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случаев с летальными исходами при плановой госпитализации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Отчетные данные, медицинская карта стационарного больного (форма 003/у,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Показатель досуточной летальности в стационаре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Медицинская карта стационарного больного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(форма 003/у,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), статистическая карта выбывшего из стационара (форма 066/у,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не превышает 4 %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Послеоперационная летальность в случаях плановой госпитализации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Отчетные данные, медицинская карта стационарного больного (форма 003/у,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интраоперационных осложнений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Отчетные данные, медицинская карта стационарного больного (форма 003/у,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), журнал записи оперативных вмешательств в стационаре (форма 008/у,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не превышает 5 %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послеоперационных осложнений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Отчетные данные, медицинская карта больного (форма 003/у,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), журнал записи оперативных вмешательств в стационаре (форма 008/у,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не превышает 3 %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Число случаев материнской смертности за отчетный период из них от: акушерских кровотечений; гестозов; абортов; экстрагенитальной патологии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Данные мониторинга беременных, родильниц медицинской организации, карта учета материнской смертности (форма 2009-1/у,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 по причинам, которые поддаются управлению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случаев родового травматизма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 родов (форма 096/у), журнал записи оперативных вмешательств в стационаре (форма 008/у,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экстренных кесаревых сечений из общего числа кесаревых сечений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 родов (форма 096/у), журнал записи оперативных вмешательств в стационаре (форма 008/у,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не превышает 20 %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беременных женщин, поступивших в стационар в течение суток после отказа в госпитализации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Журнал учета приема больных и отказов в госпитализации (форма № 001/у,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Полнота выявления экстрагенитальной патологии при поступлении в стационар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 родов (форма 096/у,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), медицинская карта стационарного больного (форма 003/у,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), статистическая карта выбывшего из стационара (форма 066/у,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случаев детской смертности (от 0 до 5 лет) за отчетный период из них от: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заболеваний органов дыхания;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кишечных инфекций;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врожденных пороков развития;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болезней перинатального периода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 родов (форма 096/у,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история развития новорожденного (форма 097/у,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), медицинская карта стационарного больного (форма 003/у,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),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случаев травматизма новорожденных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 родов (форма 096/у,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история развития новорожденного (форма 097/у,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Значение индикатора стремится к нулю 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Показатель интранатальной гибели плода на 100 родившихся живыми и мертвыми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 родов (форма 096/у,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Показатель соблюдения тепловой цепочки (мониторинг температурного режима)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 родов (форма 096/у,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история развития новорожденного (форма 097/у,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не превышает 0,5 %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Показатель ранней неонатальной смертности (до 7 суток жизни) на 1000 родившихся живыми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 родов (форма 096/у,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гнойно-септических процессов после оперативных вмешательств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Медицинская карта стационарного больного (форма 003/у,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не превышает 1 %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гнойно-септических процессов у новорожденных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 развития новорожденного (форма 097/у,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Показатель повторного поступления (в течение месяца по поводу одного и того же заболевания)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Отчетные данные, медицинская карта стационарного больного (форма 003/у,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), статистическая карта выбывшего из стационара (форма 066/у,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Случаи расхождения клинического и патологоанатомического диагнозов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Протокол патологоанатомического исследования (форма 013/у,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обоснованных обращений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случаев внутрибольничных инфекций с проведением эпидемиологического расследования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), Протокола разбора случаев на заседании комиссии инфекционного контроля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100%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случаев внутрибольничных инфекций с установленными причинами и факторами возникновения и распространения внутрибольничных инфекций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), Протокола разбора случаев на заседании комиссии инфекционного контроля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80%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Индикаторы оценки для организаций,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оказывающих амбулаторно-поликлиническую помощь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Показатель общей смертности, в том числе трудоспособного возраста среди прикрепленного населения за отчетный период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Данные областного статистического управления (с указанием домашнего адреса)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 по причинам, которые поддаются управлению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Показатель первичного выхода на инвалидность лиц трудоспособного возраста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Данные территориального Департамента Комитета труда, социальной защиты и миграции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случаев материнской смертности, с дефектами оказания медицинских услуг на уровне организаций первичной медико-санитарной помощи (далее – ПМСП)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Карта учета материнской смертности (форма 2009-1/у,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 (результаты внешней экспертизы 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оздоровленных женщин с экстрагенитальной патологией среди женщин фертильного возраста из числа прикрепленного населения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Медицинская карта амбулаторного больного (форма 025/у,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Статистическая карта амбулаторного пациента (форма 025-05/у,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Контрольная карта диспансерного наблюдения (форма 030/у,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Увеличение показателя на 5 %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Охват контрацепцией женщин с абсолютными противопоказаниями к вынашиванию беременности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Медицинская карта амбулаторного больного (форма 025/у,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Случаи беременности женщин фертильного возраста с экстрагенитальной патологией, которым абсолютно противопоказана беременность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Статистическая карта выбывшего из стационара (форма 066/у,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 Программное обеспечение "Регистр беременных"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Уровень абортов по отношению к родам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Статистическая карта выбывшего из стационара (форма 066/у,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беременных женщин госпитализированных с нарушением принципа регионализации (по данным круглосуточного стационара)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Статистическая карта выбывшего из стационара (форма 066/у,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 (диагноз по международной классификации болезней с с указанием родоразрешения) Программное обеспечение "Регистр беременных"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Детская смертность до 5 лет, с дефектами оказания медицинских услуг на уровне ПМСП 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Карта учета родившегося живым, мертворожденного и умершего ребенка в возрасте до 5 лет (форма 2009/у,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обученных медицинских работников (врачей, средних медицинских работников) ПМСП* по программе интегрированного ведения болезней детского возраста (далее ИВБДВ)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Отчет отдела кадров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не менее 70 %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Показатель умерших детей в возрасте от 7 дней до 5 лет на дому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Автоматизированная информационная система (далее –АИС) "Млад", данные областного статистического управления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Показатель посещаемости врачом новорожденных в первые 3 дня после выписки из роддома (патронаж)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 развития ребенка (форма 112/у,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 АИС "Стационар"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экстренной госпитализации детей до 5 лет с острой кишечной инфекцией (далее -ОКИ), острой респираторной инфекции (далее – ОРИ) за отчетный период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Данные "Мединформ"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из числа родителей детей до 5 лет, обученных признакам опасности в соответствии с принципами ИВБДВ*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Журнал кабинета здорового ребенка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Случаи врожденных пороков развития (далее – ВПР) у новорожденных, недиагностированных внутриутробно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 развития ребенка (форма 112/у,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), индивидуальная карта беременной, роженицы, родильницы (форма 111/у,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детей в возрасте 6 месяцев, получающих исключительно грудное вскармливание, за исключением детей отказных подкидышей и детей, родившихся от ВИЧ-инфицированных матерей, матерей, принимающих цитостатики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 развития ребенка (форма 112/у,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детей, получающих грудное вскармливание до 2 лет, за исключением детей отказных подкидышей и детей, родившихся от ВИЧ-инфицированных матерей, матерей, принимающих цитостатики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 развития ребенка (форма 112/у,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Увеличение показателя на 5 %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запущенных случаев среди впервые выявленных больных с туберкулезом легких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Программный комплекс "Регистр больных туберкулезом"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Уменьшение значения показателя настоящего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Охват обязательного контингента флюорографическим обследованием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План проведения флюорографических обследований, журнал регистрации флюорографических обследований, отчетные формы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Показатель выявляемости больных туберкулезом методом флюорографии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Журнал регистрации флюорографических обследований, карта профилактических флюорографических обследований (форма 052/у,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составляет не менее 60 %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Показатель выявляемости больных с подозрением на туберкулез среди обследованных лиц методом микроскопии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Журнал регистрации микроскопических обследований, отчетные формы, лабораторный регистрационный журнал (форма ТБ 04/у,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), направление на микроскопическое исследование мокроты на микобактерии туберкулеза (форма ТБ 05/у,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составляет не менее 70 %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Число больных туберкулезом, прервавших терапию на уровне ПМСП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Медицинская карта амбулаторного больного (форма 025/у,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числа впервые выявленных больных злокачественными новообразованиями 3-4 стадии за отчетный период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База данных "Онкорегистр"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Уменьшение показателя на 5 %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числа впервые выявленных больных злокачественными новообразованиями 1-2 стадии за отчетный период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База данных "Онкорегистр"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Увеличение показателя на 1 %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Показатель 5-летней выживаемости больных злокачественными новообразованиями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База данных "Онкорегистр"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составляет не менее 50 %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обоснованных жалоб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Уровень госпитализации больных из числа прикрепленного населения госпитализированных с осложнениями заболеваний сердечно-сосудистой системы: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- артериальная гипертензия;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- инфаркт миокарда;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- инсульт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Статистическая карта выбывшего из стационара (форма 066/у,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случаев внутрибольничных инфекций с проведением эпидемиологического расследования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), Протокола разбора случаев на заседании комиссии инфекционного контроля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случаев внутрибольничных инфекций с установленными причинами и факторами возникновения и распространения внутрибольничных инфекций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), Протокола разбора случаев на заседании комиссии инфекционного контроля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80 %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Показатель охвата иммунизацией детей до 5 лет против целевых инфекций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Ежемесячно в нарастании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Отчетная форма № 4, утвержденная приказом Министра национальной экономики Республики Казахстан от 30 мая 2015 года № 415,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Журнал учета профилактических прививок, форма 064/у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95 % за год (ежемесячно не менее 7,9 %)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внутренней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внешней экспертиз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качества медицинских услуг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 Внешние индикаторы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1686"/>
        <w:gridCol w:w="2904"/>
        <w:gridCol w:w="285"/>
        <w:gridCol w:w="4609"/>
        <w:gridCol w:w="2373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индикаторов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Периодичность информации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Источник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Пороговое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Индикаторы оценки для организаций,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оказывающих стационарную помощь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случаев летальности при плановой госпитализации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умерших в стационаре от общего числа пациентов, поступивших в плановом порядке за отчетный период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Отчетные данные Медицинская карта стационарного больного (форма 003/у,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Послеоперационная летальность в случаях плановой госпитализации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умерших в стационаре после оперативных вмешательств от количества пациентов, прооперированных в плановом порядке за отчетный период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Отчетные данные, медицинская карта стационарного больного (форма 003/у,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Число случаев материнской смертности за отчетный период из них от: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акушерских кровотечений;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гестозов;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абортов;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экстрагенитальной патологии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Данные мониторинга беременных, родильниц медицинской организации, карта учета материнской смертности (форма 2009-1/у,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 по причинам, поддаюмщися управлению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случаев детской смертности за отчетный период из них от: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заболеваний органов дыхания;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кишечных инфекций;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врожденных пороков развития;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причин перинатального периода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Карта учета родившегося живым, мертворожденного и умершего ребенка в возрасте до 5 лет (форма 2009/у,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Показатель повторного поступления (в течение месяца по поводу одного и того же заболевания)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Число повторных госпитализаций от числа госпитализированных за отчетный период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Отчетные данные, медицинская карта стационарного больного (форма 003/у,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 статистическая карта выбывшего из стационара (форма 066/у,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Случаи расхождения клинического и патологоанатомического диагнозов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случаев за отчетный период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Протокол патологоанатомического исследования (форма 013/у,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Обоснованные обращения на качество оказания медицинских услуг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Количество обоснованных жалоб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Показатель эпидемиологи ческого расследования внутрибольничных инфекций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проведением эпидемиологического расследования от общего числа зарегистрированных случаев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), Протокола разбора случаев на заседании комиссии инфекционного контроля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установленными причинами и факторами возникновения и распространения внутрибольничных инфекций от общего числа зарегистрированных случаев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), Протокола разбора случаев на заседании комиссии инфекционного контроля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80 %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Индикаторы оценки для организаций,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оказывающих амбулаторно-поликлиническую помощь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Показатель общей смертности, в том числе трудоспособного возраста, среди прикрепленного населения за отчетный период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Абсолютное число и расчетный показатель на 1000 населения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Данные областного статистического управления с указанием домашнего адреса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 по причинам, которые поддаются управлению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случаев материнской смертности, с дефектами оказания медицинских услуг на уровне ПМСП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случаев материнской смерти среди прикрепленных жителей с подтвержденными дефектами (экспертами) на уровне ПМСП, за отчетный период на количество прикрепленных женщин фертильного возраста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Карта учета материнской смертности (форма 2009-1/у,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 (результаты внешней экспертизы 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Детская смертность до 5 лет, с дефектами оказания медицинских услуг на уровне ПМСП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умерших детей в возрасте от 0 до 5 лет, предотвратимых на уровне ПМСП на количество детей в возрасте от 0 до 5 лет среди прикрепленного населения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Карта учета родившегося живым, мертворожденного и умершего ребенка в возрасте до 5 лет (форма 2009/у,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Случаи беременности женщин фертильного возраста (далее – ЖФВ) с экстрагенитальной патологией, которым абсолютно противопоказана беременность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случаев госпитализированных беременных ЖФВ с экстрагенитальной патологией, которым абсолютно противопоказана беременность, среди прикрепленных жителей на общее количество госпитализированных беременных среди прикрепленных жителей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Статистическая карта выбывшего из стационара (форма 066/у,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 Программное обеспечение "Регистр беременных"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запущенных случаев среди впервые выявленных больных с туберкулезом легких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запущенных случаев у впервые выявленных туберкулезом легких среди прикрепленного населения на количество впервые выявленных случаев туберкулеза легких среди прикрепленного населения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Программный комплекс "Регистр больных туберкулезом"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впервые выявленных случаев с диагнозом злокачественного новообразования визуальной локализации 3-4 стадии среди прикрепленного населения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впервые выявленных случаев с диагнозом злокачественного новообразования визуальной локализации 3-4 стадии среди прикрепленного населения на количество всех впервые выявленных случаев с диагнозом злокачественного новообразования визуальной локализации среди прикрепленного населения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Программный комплекс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"Регистр онкологических больных"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Обоснованные обращения на качество оказания медицинских услуг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Показатель на 100 тыс. прикрепленного населения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Уровень госпитализации больных из числа прикрепленного населения с осложнениями заболеваний сердечно-сосудистой системы: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артериальная гипертензия;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инфаркт миокарда;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инсульт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пролеченных больных из числа прикрепленного населения с осложнениями заболеваний сердечно-сосудистой системы: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артериальная гипертензия;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инфаркт миокарда;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инсульт 100 на количество пролеченных больных из числа прикрепленного населения с осложнениями заболеваний сердечно-сосудистой системы: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артериальная гипертензия;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инфаркт миокарда;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инсульт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Статистическая карта выбывшего из стационара (форма 066/у,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Показатель эпидемиологического расследования внутрибольничных инфекций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проведением эпидемиологического расследования от общего числа зарегистрированных случаев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), Протокола разбора случаев на заседании комиссии инфекционного контроля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установленнымипричинами и факторами возникновения и распространения внутрибольничных инфекций от общего числа зарегистрированных случаев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), Протокола разбора случаев на заседании комиссии инфекционного контроля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80%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Показатель охвата иммунизацией детей до 5 лет против целевых инфекций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Удельный вес (%) детей целевой группы, охваченных иммунизацией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Ежемесячно в нарастании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Отчетная форма № 4,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415, Журнал учета профилактических прививок, форма 064/у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Значение индикатора стремится к 95% за год (ежемесячно не менее 7,9%)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внутренней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внешней экспертиз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качества медицинских услуг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 Экспертное заключение независимого эксперта</w:t>
      </w:r>
    </w:p>
    <w:bookmarkEnd w:id="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Фамилия, имя, отчество (при его наличии) независимого эксперта, с указанием специальности, должности, квалификационной категории, ученой степени, № свидетельства об аккредитации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Наименование субъекта (объекта) здравоохранения, в котором проводилась экспертиза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Основание проведения экспертизы, либо сведения о заказчике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Сроки проведения экспертизы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Период проведения экспертизы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Предмет экспертизы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Сведения о результатах экспертизы, в том числе о выявленных нарушениях, об их характере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Выводы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Рекомендации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 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Фамилия, имя, отчество (при его наличии),  подпись лица, проводившего лица, проводившего экспертизу              экспертизу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Дата "____" ___________ 20 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